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w:t>
      </w:r>
    </w:p>
    <w:p>
      <w:r>
        <w:t>Bundesgericht (BGE), 2002-11-06, DE</w:t>
      </w:r>
    </w:p>
    <w:p>
      <w:r>
        <w:rPr>
          <w:b/>
        </w:rPr>
        <w:t xml:space="preserve">Quelle: </w:t>
      </w:r>
      <w:r>
        <w:t>https://mcp.opencaselaw.ch/entscheid/bge_129 I 1</w:t>
      </w:r>
    </w:p>
    <w:p>
      <w:r>
        <w:t>FR: ATF 129 I 1</w:t>
      </w:r>
    </w:p>
    <w:p>
      <w:r>
        <w:t>IT: DTF 129 I 1</w:t>
      </w:r>
    </w:p>
    <w:p>
      <w:pPr>
        <w:pStyle w:val="Heading2"/>
      </w:pPr>
      <w:r>
        <w:t>Regeste</w:t>
      </w:r>
    </w:p>
    <w:p>
      <w:r>
        <w:t>Regeste Willkür in der Rechtssetzung (Art. 9 BV), Rechtsgleichheit in der Rechtssetzung (Art. 8 Abs. 1 BV), inzidente Normenkontrolle; Alimentenbevorschussung (Berücksichtigung der finanziellen Verhältnisse des Konkubinatspartners). Die kantonale Bestimmung, wonach das Einkommen des Konkubinatspartners des obhutsberechtigten Elternteils anrechenbar ist, Alimentenbevorschussung also nur gewährt wird, wenn die Einkommen beider Partner zusammen die Bevorschussungsgrenze nicht übersteigen, hält vor dem Willkürverbot stand (E. 3.1). Die dargestellte Regelung kann, soweit die Zulässigkeit der Gleichbehandlung von Stiefelternteil und Konkubinatspartner in Frage steht, verfassungskonform ausgelegt werden. Damit steht auch Art. 8 Abs. 1 BV der Anwendung der beanstandeten Norm nicht entgegen (E. 3.2).</w:t>
      </w:r>
    </w:p>
    <w:p>
      <w:pPr>
        <w:pStyle w:val="Heading2"/>
      </w:pPr>
      <w:r>
        <w:t>Erwägungen</w:t>
      </w:r>
    </w:p>
    <w:p>
      <w:r>
        <w:rPr>
          <w:b/>
        </w:rPr>
        <w:t>E. 1.1</w:t>
      </w:r>
    </w:p>
    <w:p>
      <w:r>
        <w:t>Gemäss Art. 4 Abs. 1 lit. a des kantonalen Gesetzes über Inkassohilfe und Vorschüsse für Unterhaltsbeiträge vom 28. Juni 1979 (GIVU; sGS 911.51) wird der Kindesunterhaltsbeitrag bevorschusst, wenn das anrechenbare Einkommen das Mindesteinkommen nicht BGE 129 I 1 S. 3 übersteigt. Er wird teilweise bevorschusst, wenn das anrechenbare Einkommen die Bevorschussungsgrenze nicht übersteigt (Art. 4 Abs. 1 lit. b GIVU). Es besteht allerdings kein Anspruch auf Vorschüsse, wenn der Unterhalt des Kindes anderweitig gesichert ist (Art. 3 lit. b GIVU). Art. 4bis GIVU hat die Ermittlung des anrechenbaren Einkommens zum Gegenstand. Diese Bestimmung ist mit dem zweiten Nachtragsgesetz zum GIVU vom 11. November 1999 geändert worden. Seither lautet deren erster Absatz wie folgt: "Anrechenbar ist das Einkommen des obhutsberechtigten Elternteils, des Konkubinatspartners und des Stiefelternteils." Die Neuordnung hat zum Ziel, die Bevorzugung von Konkubinatspaaren gegenüber Ehepaaren zu verhindern (Protokoll des Grossen Rates des Kantons St. Gallen vom 4. Mai 1999, S. 3235). Es sei nicht einzusehen, weshalb das Einkommen des Stiefvaters, der ebenfalls kein leiblicher Vater des zur Bevorschussung in Frage kommenden Kindes sei, im Gegensatz zum Konkubinatspartner angerechnet werden solle (a.a.O., S. 3242). (...)</w:t>
      </w:r>
    </w:p>
    <w:p>
      <w:r>
        <w:rPr>
          <w:b/>
        </w:rPr>
        <w:t>E. 3</w:t>
      </w:r>
    </w:p>
    <w:p>
      <w:r>
        <w:t>Nach der Auffassung des Beschwerdeführers ist Art. 4bis Abs. 1 GIVU willkürlich und verletzt den allgemeinen Gleichheitssatz des Art. 8 Abs. 1 BV . Ein Erlass ist willkürlich, wenn er sich nicht auf ernsthafte sachliche Gründe stützen lässt oder sinn- und zwecklos ist; er verletzt das Rechtsgleichheitsgebot,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 BGE 124 I 297 E. 3b S. 299; BGE 123 II 16 E. 6a S. 26). Dem Gesetzgeber verbleibt bei der Verfolgung gesetzgebungspolitischer Ziele und der dazu eingesetzten Mittel ein weiter Gestaltungsspielraum ( BGE 124 I 297 E. 3b S. 299; BGE 121 I 102 E. 4a S. 104; BGE 110 Ia 7 E. 2b S. 13 f.).</w:t>
      </w:r>
    </w:p>
    <w:p>
      <w:r>
        <w:rPr>
          <w:b/>
        </w:rPr>
        <w:t>E. 3.1</w:t>
      </w:r>
    </w:p>
    <w:p>
      <w:r>
        <w:t>Der Beschwerdeführer macht geltend, eine Regelung, wonach die staatliche Bevorschussung der Kinderalimente auch gegenüber zu erwartenden Unterhaltsleistungen durch den Konkubinatspartner subsidiär sei, sei willkürlich. Ausserdem sei die Norm leicht zu umgehen; ihre Durchsetzbarkeit sei höchst zweifelhaft. Er bestreitet demgegenüber nicht, dass der Unterhalt des Kindes anderweitig BGE 129 I 1 S. 4 gesichert ist im Sinne von Art. 3 lit. b GIVU, wenn sich ein Konkubinatspartner von sich aus bereit erklärt, das Kind des anderen Partners zu unterstützen (vgl. dazu FELIX WOLFFERS, Grundriss des Sozialhilferechts, 2. Aufl., Bern 1999, S. 161; vgl. zur Berücksichtigung der faktischen Unterstützung unter Konkubinatspartnern das Urteil 2P.386/1997 vom 24. August 1998, publ. in: Freiburger Zeitschrift für Rechtsprechung [FZR] 1998 S. 396 ff., insb. E. 3c). Von Willkür in der Rechtsetzung kann indessen keine Rede sein. Denn die Tatsache, dass Konkubinatspartner sich zur Gründung eines Haushaltes mit einem nicht gemeinsamen Kind entschliessen, stellt durchaus einen rationalen Anknüpfungspunkt dar für die in Frage stehende Regelung. Dies selbst in der Auslegung, wie sie von der Gemeinde Kirchberg zugrunde gelegt wird und wonach jedes Eingehen eines Konkubinats zur Folge hat, dass die Einkommen beider Partner angerechnet werden. Es ist zwar zutreffend, dass durch eine derartige Bestimmung nicht das Kindeswohl, sondern die Frage der Be- bzw. Entlastung des neuen Partners ins Zentrum gestellt wird. Dem Bundesgericht steht es jedoch im Rahmen der Willkürprüfung nicht zu, den Gestaltungsspielraum des kantonalen Gesetzgebers durch eine eigene Gestaltungsvorstellung zu schmälern (vgl. dazu BGE 114 Ia 321 E. 3b S. 324; BGE 110 Ia 7 E. 2b S. 14, je mit Hinweisen). Willkürlich ist die Norm auch nicht deshalb, weil sich möglicherweise Schwierigkeiten bei der Feststellung des Sachverhalts des Konkubinats ergeben. Das Bundesgericht hat im Übrigen festgestellt, dass auch der durch die Rechtsprechung zur Rechtsmissbrauchsschranke des Anspruchs auf nachehelichen Unterhalt festgelegten zeitlichen Limite für die Annahme eines stabilen Konkubinats etwas Willkürliches anhaftet ( BGE 109 II 188 E. 2 S. 191). Zudem führt das Verwaltungsgericht zu Recht aus, dass die persönlichen und finanziellen Verhältnisse im Rahmen der Prüfung der Anspruchsberechtigung zu deklarieren sind (vgl. dazu auch den Nachtrag vom 22. Mai 2001 zur Vollzugsverordnung zum GIVU vom 15. Oktober 1979 [sGS 911.511], insb. Art. 6). Wie ausgeführt ergibt sich somit, dass der kantonale Gesetzgeber mit Erlass des Art. 4bis Abs. 1 GIVU nicht in Willkür verfallen ist.</w:t>
      </w:r>
    </w:p>
    <w:p>
      <w:r>
        <w:rPr>
          <w:b/>
        </w:rPr>
        <w:t>E. 3.2</w:t>
      </w:r>
    </w:p>
    <w:p>
      <w:r>
        <w:t>Des Weiteren macht der Beschwerdeführer geltend, die Regelung des Art. 4bis Abs. 1 GIVU führe zu einer verfassungsrechtlich nicht haltbaren Gleichbehandlung von Stiefelternteil und Konkubinatspartner. Dabei anerkennt er ausdrücklich, dass tatsächliche, durch das Zusammenleben erlangte Vorteile wie die im Austausch gegen Hausarbeit erbrachten Leistungen als anrechenbares Einkommen BGE 129 I 1 S. 5 des sorgeberechtigten Elternteils zu berücksichtigen sind (vgl. zur Anrechnung der Haushaltführung WOLFFERS, a.a.O., S. 160). Es sei hingegen nicht gerechtfertigt, diesem das gesamte Einkommen des Konkubinatspartners zuzurechnen.</w:t>
      </w:r>
    </w:p>
    <w:p>
      <w:r>
        <w:rPr>
          <w:b/>
        </w:rPr>
        <w:t>E. 3.2.1</w:t>
      </w:r>
    </w:p>
    <w:p>
      <w:r>
        <w:t>Würde die Regelung des Art. 4bis Abs. 1 GIVU so verstanden, dass sie die Subsidiarität der staatlichen Leistung bereits gegenüber der zu erwartenden Unterstützung durch den Konkubinatspartner unabhängig von der Stabilität der Konkubinatsbeziehung statuiert, sobald das Paar eine gemeinsame Wohnung bezieht, würde dies dazu führen, dass diejenigen Konkubinatspartner, die mit einem obhutsberechtigten Partner einen gemeinsamen Haushalt gründen, generell gleich behandelt werden wie ein Stiefelternteil.</w:t>
      </w:r>
    </w:p>
    <w:p>
      <w:r>
        <w:rPr>
          <w:b/>
        </w:rPr>
        <w:t>E. 3.2.2</w:t>
      </w:r>
    </w:p>
    <w:p>
      <w:r>
        <w:t>Das Bundesgericht hat in BGE 112 Ia 251 E. 4 S. 258 f. festgehalten, es verstosse nicht gegen die Rechtsgleichheit, wenn das Einkommen bzw. das Vermögen eines Stiefelternteils im Rahmen der Prüfung, ob die Bevorschussungsgrenze erreicht sei, mitberücksichtigt werde, während unter gleichen Voraussetzungen bei Konkubinatsbeziehungen nach wie vor bloss die wirtschaftlichen Verhältnisse des nicht verpflichteten Elternteils in Betracht gezogen werden. Der Konkubinatspartner habe insbesondere keinen Anspruch auf Beistand durch den anderen Partner nach Art. 278 Abs. 2 ZGB . Gerade hier liege denn auch der entscheidende Unterschied zwischen dem verheirateten und dem im Konkubinat lebenden nicht verpflichteten Elternteil. Weil der verheiratete Elternteil einen privatrechtlichen Anspruch auf Beistand gegenüber dem Stiefelternteil habe, lasse sich eine Mitberücksichtigung des Einkommens und Vermögens des Stiefelternteils und damit eine Ungleichbehandlung mit dem im Konkubinat lebenden, nicht verpflichteten Elternteil rechtfertigen. Es stellt sich nun die Frage, ob sich aus dieser Argumentation im Umkehrschluss die generelle Unzulässigkeit der Gleichbehandlung von Stiefelternteil und Konkubinatspartner ergibt.</w:t>
      </w:r>
    </w:p>
    <w:p>
      <w:r>
        <w:rPr>
          <w:b/>
        </w:rPr>
        <w:t>E. 3.2.3</w:t>
      </w:r>
    </w:p>
    <w:p>
      <w:r>
        <w:t>In der Doktrin wird einerseits die Position vertreten, da keine gesetzliche Beistandspflicht des Konkubinatspartners bestehe, sei es auch nicht zulässig, demselben den hypothetischen Willen zu unterschieben, mit der Begründung einer eheähnlichen Lebensgemeinschaft auch für die eingebrachten Kinder des Konkubinatspartners zu sorgen. Soweit der Nachweis nicht offen stehe, dass die Unterhaltsleistung nicht erbracht wird, müsse eine derartige Praxis abgelehnt werden (ANDREAS HAFFTER, Der Unterhalt des Kindes als Aufgabe von Privatrecht und öffentlichem Recht, Diss. Zürich 1984, BGE 129 I 1 S. 6 S. 251). Nach WOLFFERS ist es vertretbar, im Sinne einer Tatsachenvermutung auch im Sozialhilferecht davon auszugehen, dass sich die Partner im stabilen Konkubinat, wie es durch die bundesgerichtliche Praxis zum nachehelichen Unterhalt definiert worden ist, gegenseitig materiell unterstützen. Zulässig müsse auch hier der Gegenbeweis bleiben (a.a.O., S. 162; vgl. dazu auch PETER STADLER, Unterstützung von Konkubinatspartnern, in: Zeitschrift für Sozialhilfe [ZeSo] 1999 S. 29 ff., insb. S. 31). Diese Vermutung soll namentlich für ein Paar in gefestigtem Konkubinat mit gemeinsamem Kind gelten (ZeSo 1998 S. 107 f.). Mehrere kantonale Gerichtsentscheide setzen auch ein stabiles Konkubinat voraus, wenn das Einkommen des Konkubinatspartners im Rahmen der Prüfung des Anspruchs auf Alimentenbevorschussung angerechnet werden soll (vgl. nur den Entscheid des Verwaltungsgerichts des Kantons Basel-Landschaft vom 29. April 1987, publ. in: BLVGE 1987 S. 131 ff., sowie denjenigen des Obergerichts des Kantons Schaffhausen vom 17. Mai 1991, publ. in: ABSH 1991 S. 123 ff.). Dabei geht das Verwaltungsgericht des Kantons Graubünden davon aus, dass es sich rechtfertige, die Frage, ob der obhutsberechtigte Elternteil tatsächlich in einem eheähnlichen Verhältnis lebe, aufgrund restriktiverer Kriterien - d.h. geringeren Anforderungen - zu beantworten, als dies im Falle des Rentenanspruches geschiedener Ehegatten, die im Konkubinat leben, nach bundesgerichtlicher Praxis gefordert ist. Demnach könne eine eheähnliche Beziehung zweier Konkubinatspartner bereits nach kurzer Zeit angenommen werden (Entscheid vom 3. März 1995, publ. in: PVG 1995 Nr. 13, insb. E. 2b).</w:t>
      </w:r>
    </w:p>
    <w:p>
      <w:r>
        <w:rPr>
          <w:b/>
        </w:rPr>
        <w:t>E. 3.2.4</w:t>
      </w:r>
    </w:p>
    <w:p>
      <w:r>
        <w:t>Der allgemeine Gleichheitssatz garantiert die Gleichbehandlung aller Rechtsunterworfenen durch die staatlichen Organe. Das Differenzierungsgebot verlangt, dass Ungleiches nach Massgabe seiner Ungleichheit ungleich behandelt wird. Das Konkubinat ist kein Institut des Familienrechts; dem Konkubinatspartner stehen keine Unterhalts- und Beistandsansprüche gegen den anderen Partner zu. Vielmehr steht es den Partnern frei, die Beziehungen unter sich durch vertragliche Vereinbarungen zu regeln. Insbesondere hat der Konkubinatspartner keinen Anspruch auf Beistand nach Art. 278 Abs. 2 ZGB ( BGE 112 Ia 251 E. 4b S. 258 f. mit Hinweis). Indessen ist nicht von der Hand zu weisen, dass das Konkubinat gegenüber der Ehe begünstigt wird, wenn die finanziellen Verhältnisse des Stiefelternteils bei der Ermittlung des anrechenbaren Einkommens berücksichtigt werden, diejenigen namentlich des langjährigen Konkubinatspartners jedoch nicht (vgl. CYRIL HEGNAUER, Der Unterhalt BGE 129 I 1 S. 7 des Stiefkindes nach schweizerischem Recht, in: Festschrift für Wolfram Müller-Freienfels, Baden-Baden 1986, S. 271 ff., S. 286; vgl. auch das erwähnte Urteil vom 24. August 1998, E. 3d). Diese Umstände lassen die Anrechnung des Einkommens des in einem stabilen Konkubinat lebenden Partners angesichts des dem kantonalen Gesetzgeber eingeräumten Gestaltungsspielraums als vertretbar erscheinen. Verfassungsrechtlich nicht haltbar wäre demgegenüber die Auffassung, jedes Zusammenleben eines Paares rechtfertige es, das Einkommen des Partners anzurechnen. Durch eine derartige Regelung würde den Unterschieden zwischen der Stellung des Stiefelternteils und derjenigen des Konkubinatspartners nicht hinreichend Rechnung getragen. Deshalb würde auch die Statuierung einer nicht widerlegbaren Vermutung, wonach mit dem Bezug einer gemeinsamen Wohnung ein stabiles Konkubinat vorliegt, zu einer unzulässigen Gleichbehandlung von Ungleichem führen. Indessen lässt sich die Vorschrift des Art. 4bis Abs. 1 GIVU, wonach das Einkommen des Partners angerechnet wird, ohne weiteres so verstehen, dass die Anrechnung ein stabiles Konkubinat voraussetzt. Dies hat das Amt für Soziales des Kantons St. Gallen denn auch in Anlehnung an die bundesgerichtliche Rechtsprechung zum nachehelichen Unterhalt vorgeschlagen; eines der Regelkriterien sei eine "bereits längerfristige, bzw. mehrjährige tragfähige Beziehung, auf Dauer angelegt" (Rundschreiben vom 27. März 2000 an die Sozialämter und Sozialberatungen im Kanton St. Gallen, S. 3). Auch das Versicherungsgericht des Kantons St. Gallen hat unter Hinweis auf die Materialien festgestellt, nach Ansicht des Gesetzgebers sei es Sache der Rechtsprechung, die Kriterien für das Vorliegen eines Konkubinats festzulegen. Das Konkubinat müsse sich, wenn damit die Folge der Berücksichtigung der finanziellen Verhältnisse des Partners verbunden werden solle, nach aussen hin als bereits gefestigt und auf eine dauerhafte Beziehung ausgerichtet manifestiert haben; es rechtfertige sich aber nicht, erst bei einer Dauer von mindestens fünf Jahren von einer solchen Lebensgemeinschaft auszugehen (Entscheid vom 26. Oktober 2001 in Sachen des Beschwerdeführers, E. 3b). Folgerichtig berücksichtigt das Versicherungsgericht im vorliegenden Fall den Umstand, dass der Konkubinatspartner das Kind der obhutsberechtigten Partnerin - wenn auch, wie er geltend macht, nur überbrückungsweise, d.h. in Erwartung von Leistungen der öffentlichen Hand - tatsächlich unterstützt. Darin sieht es ein über die blosse Begründung eines gemeinsamen Haushaltes hinausgehendes Indiz für ein (stabiles) Konkubinat im Sinne des GIVU. BGE 129 I 1 S. 8 Insgesamt erweist sich die der akzessorischen Normenkontrolle zu unterwerfende Bestimmung, soweit die Zulässigkeit der Gleichbehandlung von Stiefelternteil und Konkubinatspartner in Frage steht, als verfassungskonformer Auslegung zugänglich. Damit steht der Anwendung der beanstandeten Norm auf den vorliegenden Fall insoweit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